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4A680F" w:rsidRPr="004A680F" w:rsidTr="00E5298E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:rsidR="00AE42EA" w:rsidRPr="004A680F" w:rsidRDefault="00AE42EA" w:rsidP="00E5298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E42EA" w:rsidRPr="004A680F" w:rsidRDefault="00AE42EA" w:rsidP="00E5298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Makroekonomski menadžment</w:t>
            </w:r>
          </w:p>
        </w:tc>
      </w:tr>
      <w:tr w:rsidR="004A680F" w:rsidRPr="004A680F" w:rsidTr="00E5298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A680F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EUA307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4A680F" w:rsidRPr="004A680F" w:rsidTr="00E5298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A8A" w:rsidRPr="004A680F" w:rsidRDefault="00973A46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 prof. dr</w:t>
            </w:r>
            <w:r w:rsidR="00206A8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Bruno Ćorić </w:t>
            </w:r>
          </w:p>
          <w:p w:rsidR="00AE42EA" w:rsidRPr="004A680F" w:rsidRDefault="00AE42EA" w:rsidP="00206A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Lena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Perović</w:t>
            </w:r>
            <w:proofErr w:type="spellEnd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4A680F" w:rsidRPr="004A680F" w:rsidTr="00E5298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4A680F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4A680F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4A680F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4A680F" w:rsidRPr="004A680F" w:rsidTr="00E5298E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0E0EB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4A680F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4A680F" w:rsidRDefault="000E0EB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:rsidTr="00E5298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162264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</w:t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bvezni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73A46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4A680F" w:rsidRPr="004A680F" w:rsidTr="00E5298E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A680F" w:rsidRPr="004A680F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206A8A" w:rsidP="00206A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Glavni cilj predmeta je osigurati da studenti ovladaju načinima na koje država svojim djelovanjem može pridonijeti poboljšanju rezultata djelovanja tržišne ekonomije u dugom i kratkom roku, te ih naučiti da samostalno valorizirati, kritički prosuđuju i preispituju mjere koje države poduzimaju u tom smjeru.</w:t>
            </w:r>
          </w:p>
        </w:tc>
      </w:tr>
      <w:tr w:rsidR="004A680F" w:rsidRPr="004A680F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206A8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4A680F" w:rsidRPr="004A680F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83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:rsidR="00AE42EA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Utvrditi načine na koje država svojim djelovanjem može pridonijeti poboljšanju rezultata djelovanja tržišne ekonomije, te kritički prosuditi i valorizirati kvalitetu I uspješnost mjera koje država poduzimati u tom smjeru- razina 7.</w:t>
            </w:r>
          </w:p>
          <w:p w:rsidR="009C6883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</w:p>
          <w:p w:rsidR="009C6883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:rsidR="00162264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Preispitati i argumentirati opće razloge za aktivno u</w:t>
            </w:r>
            <w:r w:rsidR="00162264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ključivanja države u djelovanje 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tržišne ekonomije na pojedinim tržištima i djelatnostima</w:t>
            </w:r>
          </w:p>
          <w:p w:rsidR="00162264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Utvrditi i argumentirati opće faktore koji ograničavaju efikasnost uključivanja</w:t>
            </w:r>
            <w:r w:rsidR="00162264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države u djelovanje tržišnih mehanizama</w:t>
            </w:r>
          </w:p>
          <w:p w:rsidR="009C6883" w:rsidRPr="004A680F" w:rsidRDefault="00162264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Theme="minorHAnsi" w:hAnsi="ArialMT" w:cs="ArialMT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Kritički prosuditi i izabrati efikasne načine uključivanja države u djelovanje tržišne ekonomije na pojedinim tržištima i djelatnostima</w:t>
            </w:r>
          </w:p>
        </w:tc>
      </w:tr>
      <w:tr w:rsidR="004A680F" w:rsidRPr="004A680F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8"/>
              <w:gridCol w:w="650"/>
              <w:gridCol w:w="3119"/>
              <w:gridCol w:w="567"/>
            </w:tblGrid>
            <w:tr w:rsidR="004A680F" w:rsidRPr="004A680F" w:rsidTr="004A680F">
              <w:trPr>
                <w:jc w:val="center"/>
              </w:trPr>
              <w:tc>
                <w:tcPr>
                  <w:tcW w:w="39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4A680F" w:rsidRPr="004A680F" w:rsidTr="004A680F">
              <w:trPr>
                <w:trHeight w:val="699"/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financijskog sektora u</w:t>
                  </w:r>
                </w:p>
                <w:p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makroekonomskoj aktivnosti: uzroci</w:t>
                  </w:r>
                </w:p>
                <w:p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racioniranja kredita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financijskog sektora u</w:t>
                  </w:r>
                </w:p>
                <w:p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makroekonomskoj aktivnosti: Financijski akcelerator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Ulaganje u istraživanje i razvoj: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fundamentalna vs. primijenjena</w:t>
                  </w:r>
                </w:p>
                <w:p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istraživanja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Tržišna konkurencija: Regulacija i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deregulacija u uvjetima</w:t>
                  </w:r>
                </w:p>
                <w:p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informacijske asimetrije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Financijski sustav i ekonomski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razvoj: načini i problemi regulacije</w:t>
                  </w:r>
                </w:p>
                <w:p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banaka i tržišta vrijednosnih papira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Ljudski kapital: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načini poticanje akumulacije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ljudskog kapitala u uvjetima</w:t>
                  </w:r>
                </w:p>
                <w:p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informacijske asimetrije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Ekonomski odnosi s inozemstvom: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načini provođenja liberalizacije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računa kapitalnih i tekućih</w:t>
                  </w:r>
                </w:p>
                <w:p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transakcija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Institucije i ekonomski razvoj: uloga,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načini izgradnje, demokracija kao</w:t>
                  </w:r>
                </w:p>
                <w:p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meta institucija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eastAsiaTheme="minorHAnsi"/>
                      <w:color w:val="000000" w:themeColor="text1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color w:val="000000" w:themeColor="text1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 xml:space="preserve">Strategije rasta: </w:t>
                  </w:r>
                  <w:proofErr w:type="spellStart"/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Rodrikov</w:t>
                  </w:r>
                  <w:proofErr w:type="spellEnd"/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 xml:space="preserve"> koncept</w:t>
                  </w:r>
                </w:p>
                <w:p w:rsidR="004A680F" w:rsidRPr="004A680F" w:rsidRDefault="004A680F" w:rsidP="00973A46">
                  <w:pPr>
                    <w:pStyle w:val="Odlomakpopisa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eastAsiaTheme="minorHAnsi"/>
                      <w:color w:val="000000" w:themeColor="text1"/>
                      <w:sz w:val="20"/>
                      <w:szCs w:val="20"/>
                    </w:rPr>
                    <w:t>Dijagnoze problema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07458C">
                  <w:pPr>
                    <w:pStyle w:val="Odlomakpopisa"/>
                    <w:numPr>
                      <w:ilvl w:val="0"/>
                      <w:numId w:val="10"/>
                    </w:num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Makroekonomske reperkusije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poreznog sustava: optimalni porezni</w:t>
                  </w:r>
                </w:p>
                <w:p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sustav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Makroekonomska stabilnost: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održavanje niske stope inflacije i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smanjivanje kratkoročnih fluktuacija</w:t>
                  </w:r>
                </w:p>
                <w:p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BDP-a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Ograničenja diskrecijske fiskalne</w:t>
                  </w:r>
                </w:p>
                <w:p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politike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Kratkoročna ekonomska politika u</w:t>
                  </w:r>
                </w:p>
                <w:p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uvjetima ograničenog djelovanja</w:t>
                  </w:r>
                </w:p>
                <w:p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monetarne politike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4A680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eastAsiaTheme="minorHAnsi"/>
                      <w:color w:val="000000" w:themeColor="text1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color w:val="000000" w:themeColor="text1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A680F" w:rsidRPr="004A680F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973A46">
                  <w:pPr>
                    <w:pStyle w:val="Odlomakpopisa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973A46">
                  <w:pPr>
                    <w:pStyle w:val="Odlomakpopisa"/>
                    <w:numPr>
                      <w:ilvl w:val="0"/>
                      <w:numId w:val="9"/>
                    </w:num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AE42EA" w:rsidRPr="004A680F" w:rsidRDefault="00AE42EA" w:rsidP="00E5298E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AE42EA" w:rsidRPr="004A680F" w:rsidRDefault="00AE42EA" w:rsidP="00E5298E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:rsidTr="00E5298E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AE42EA" w:rsidRPr="004A680F" w:rsidRDefault="00BD780E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ascii="Segoe UI Symbol" w:eastAsia="Arial Unicode MS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AE42EA" w:rsidRPr="004A680F" w:rsidRDefault="00BD780E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ascii="Segoe UI Symbol" w:eastAsia="Arial Unicode MS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52162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952162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952162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952162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A680F" w:rsidRPr="004A680F" w:rsidTr="00E5298E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A680F" w:rsidRPr="004A680F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potpis je pohađanje minimalno </w:t>
            </w:r>
            <w:r w:rsidR="006B11C5" w:rsidRPr="006B11C5">
              <w:rPr>
                <w:rFonts w:ascii="Times New Roman" w:hAnsi="Times New Roman"/>
                <w:strike/>
                <w:color w:val="000000"/>
                <w:sz w:val="20"/>
                <w:szCs w:val="20"/>
                <w:highlight w:val="yellow"/>
              </w:rPr>
              <w:t>10 od 15</w:t>
            </w:r>
            <w:r w:rsidR="006B11C5" w:rsidRPr="006B11C5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9 od 13</w:t>
            </w:r>
            <w:r w:rsidR="006B11C5" w:rsidRPr="006B1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predavanja. Uvjet za pristupanje ispitu je potpis.</w:t>
            </w:r>
          </w:p>
        </w:tc>
      </w:tr>
      <w:tr w:rsidR="004A680F" w:rsidRPr="004A680F" w:rsidTr="00E5298E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07458C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1.5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A680F" w:rsidRPr="004A680F" w:rsidTr="00E5298E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bookmarkStart w:id="0" w:name="_GoBack"/>
            <w:bookmarkEnd w:id="0"/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E42EA" w:rsidRPr="004A680F" w:rsidRDefault="00AB6F50" w:rsidP="00AB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Zalaganje i aktivnost na nastavi</w:t>
            </w:r>
          </w:p>
          <w:p w:rsidR="0007458C" w:rsidRPr="004A680F" w:rsidRDefault="0007458C" w:rsidP="00AB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458C" w:rsidRPr="004A680F" w:rsidRDefault="0007458C" w:rsidP="004A680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A680F" w:rsidRPr="004A680F" w:rsidTr="00E5298E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E42EA" w:rsidRPr="004A680F" w:rsidRDefault="0007458C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Theme="minorHAnsi"/>
                <w:b w:val="0"/>
                <w:color w:val="000000" w:themeColor="text1"/>
                <w:sz w:val="20"/>
                <w:szCs w:val="20"/>
                <w:lang w:val="hr-HR"/>
              </w:rPr>
              <w:t>Aktivnosti za potpis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07458C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0.5 ECTS</w:t>
            </w:r>
          </w:p>
        </w:tc>
      </w:tr>
      <w:tr w:rsidR="004A680F" w:rsidRPr="004A680F" w:rsidTr="00E5298E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7458C" w:rsidRPr="004A680F" w:rsidRDefault="0007458C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  <w:p w:rsidR="0007458C" w:rsidRPr="004A680F" w:rsidRDefault="00227529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07458C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E42EA" w:rsidRPr="004A680F" w:rsidRDefault="00227529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227529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ECTS</w:t>
            </w:r>
          </w:p>
        </w:tc>
      </w:tr>
      <w:tr w:rsidR="004A680F" w:rsidRPr="004A680F" w:rsidTr="00E5298E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458C" w:rsidRPr="004A680F" w:rsidRDefault="0007458C" w:rsidP="00AB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</w:p>
          <w:p w:rsidR="0007458C" w:rsidRPr="004A680F" w:rsidRDefault="0007458C" w:rsidP="0007458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 za pristupanje ispitu je potpis. Kroz semestar će biti organizirane 4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aktivnosti u vidu odgovora na problemska pitanja koja zadaje nastavnik a koja se odnose na poglavlja koja su se do tog trenutka obradila na predavanjima. Potpis će biti omogućen onim studentima koji budu aktivno sudjelovali na barem 3 od navedene 4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aktivnosti. Kroz semestar će biti organizirana i 2 kolokvija za ocjenu (u tjednima 8 i 15). Studenti ocjenu stječu na usmenom ispitu tijekom ispitnog roka. </w:t>
            </w:r>
          </w:p>
          <w:p w:rsidR="0007458C" w:rsidRPr="004A680F" w:rsidRDefault="0007458C" w:rsidP="0007458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7458C" w:rsidRPr="004A680F" w:rsidRDefault="0007458C" w:rsidP="0007458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Konačna ocjena se formira kao zbroj: </w:t>
            </w:r>
          </w:p>
          <w:p w:rsidR="0007458C" w:rsidRPr="004A680F" w:rsidRDefault="0007458C" w:rsidP="0007458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4A680F">
              <w:rPr>
                <w:color w:val="000000" w:themeColor="text1"/>
                <w:sz w:val="20"/>
                <w:szCs w:val="20"/>
              </w:rPr>
              <w:t xml:space="preserve">Ocjene ostvarene na usmenom dijelu ispita pomnožene </w:t>
            </w:r>
            <w:r w:rsidR="00227529" w:rsidRPr="004A680F">
              <w:rPr>
                <w:color w:val="000000" w:themeColor="text1"/>
                <w:sz w:val="20"/>
                <w:szCs w:val="20"/>
              </w:rPr>
              <w:t>ponderom (70% ocjene)</w:t>
            </w:r>
          </w:p>
          <w:p w:rsidR="0007458C" w:rsidRPr="004A680F" w:rsidRDefault="00227529" w:rsidP="0007458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4A680F">
              <w:rPr>
                <w:color w:val="000000" w:themeColor="text1"/>
                <w:sz w:val="20"/>
                <w:szCs w:val="20"/>
              </w:rPr>
              <w:t>Prosječna ocjena ostvarena na oba kolokvija, pomnožene ponderom (20% ocjene)</w:t>
            </w:r>
          </w:p>
          <w:p w:rsidR="0007458C" w:rsidRPr="004A680F" w:rsidRDefault="00227529" w:rsidP="00227529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4A680F">
              <w:rPr>
                <w:rFonts w:eastAsiaTheme="minorHAnsi"/>
                <w:color w:val="000000" w:themeColor="text1"/>
                <w:sz w:val="20"/>
                <w:szCs w:val="20"/>
              </w:rPr>
              <w:t>Ocjene zalaganja, rada i znanja studenata tijekom semestra (10% ocjene)</w:t>
            </w:r>
          </w:p>
        </w:tc>
      </w:tr>
      <w:tr w:rsidR="004A680F" w:rsidRPr="004A680F" w:rsidTr="00E5298E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A680F" w:rsidRPr="004A680F" w:rsidTr="00E5298E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B6F50" w:rsidP="00AB6F5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Ćorić, B. i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Perović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L. (2013): Makroekonomija. Teorija i politika. EFST, Split.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B6F50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:rsidTr="00E5298E">
        <w:trPr>
          <w:gridAfter w:val="1"/>
          <w:wAfter w:w="38" w:type="dxa"/>
          <w:trHeight w:val="31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:rsidTr="00E5298E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:rsidTr="00E5298E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680F" w:rsidRPr="004A680F" w:rsidTr="00E5298E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680F" w:rsidRPr="004A680F" w:rsidTr="00E5298E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680F" w:rsidRPr="004A680F" w:rsidTr="00E5298E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680F" w:rsidRPr="004A680F" w:rsidTr="00E5298E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680F" w:rsidRPr="004A680F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AE42EA" w:rsidRPr="004A680F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Alesina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A.,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Campante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F. i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Tabellini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G. (2008), Why is Fiscal Policy often </w:t>
            </w:r>
            <w:proofErr w:type="spellStart"/>
            <w:proofErr w:type="gram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Procyclical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?,</w:t>
            </w:r>
            <w:proofErr w:type="gram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4A680F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Journal of the European Economic Association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Vol. 6, 1006-1036.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Auerbach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A. J., Gale, W. G. i Harris, B. H. (2010), Activist Fiscal Policy, Journal of Economic Perspectives, Vol. 24, 141-164.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Barro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R. J. (2009), Rare Disasters, Asset Prices, and Welfare Costs, American Economic Review, Vol. 99, 243-264. 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Besley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T. i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Persson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T. (2013), Taxation and development, u A.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Auerbach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R.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Chetty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M. Feldstein i E.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Saez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.), Handbook of Public Economics.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Ćorić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B. (2018), The Long-run Effect of Economic Disasters, </w:t>
            </w:r>
            <w:r w:rsidRPr="004A680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Applied Economics Letters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Vol. 25(5), 296-299. </w:t>
            </w:r>
          </w:p>
          <w:p w:rsidR="00973A46" w:rsidRPr="004A680F" w:rsidRDefault="00973A46" w:rsidP="00973A4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Ćorić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B. (2020), Economic Disasters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 New Dataset, </w:t>
            </w:r>
            <w:r w:rsidRPr="004A680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Finance Research Letters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u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tisku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</w:p>
          <w:p w:rsidR="00973A46" w:rsidRPr="004A680F" w:rsidRDefault="00973A46" w:rsidP="00973A4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Ćorić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B.i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Škrabić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gram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B.</w:t>
            </w:r>
            <w:r w:rsidR="00DA249A"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(</w:t>
            </w:r>
            <w:proofErr w:type="gramEnd"/>
            <w:r w:rsidR="00DA249A"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2020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), Recovery from Economic Disasters: 50 Years to Regain Output Losses, rad u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nastajanju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Dixit, A. (2007), Evaluating Recipes for Development Success, The World Bank Research Observer, Vol. 22, 131-157.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Dixit, A. (2009), Governance Institutions and Economic Activity, American Economic Review, Vol. 99, 5-24.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Gans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J. I Murray, F. E. (2012), Funding Scientific Knowledge: Selection, Disclosure and the Public-private Portfolio, u J. Lerner i S. Stern (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), The Rate and Direction of Inventive Activity Revisited, University of Chicago Press, str. 51 – 103.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Hanushek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E. A. i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Woessmann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L. (2008), The Role of Cognitive Skills in Economic Development, Journal of Economic Literature, Vol. 46, 607-668.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Jacobs, B. i van der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Ploeg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F. (2006), Guide to Reform of Higher Education: A European Perspective, Economic Policy, Vol. 21, 536-592.</w:t>
            </w:r>
          </w:p>
          <w:p w:rsidR="00AB6F50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Obstfeld, M. (2009), International Finance and Growth in Developing Countries: What Have We </w:t>
            </w:r>
            <w:proofErr w:type="gram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Learned?,</w:t>
            </w:r>
            <w:proofErr w:type="gram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IMF Staff Papers, Vol. 56, 36-111.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Rodrik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D. (2010), Diagnostics before Prescription, Journal of Economic Perspectives, Vol. 24, 33-44.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Rodrik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D. i Subramanian, A. (2009), Why Did Globalization </w:t>
            </w:r>
            <w:proofErr w:type="gram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Disappoint?,</w:t>
            </w:r>
            <w:proofErr w:type="gram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IMF Staff Papers, Vol. 56, 112-138.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Schmitt-Grohe, S. i Uribe, M. (2010), The Optimal Rate of Inflation, u Friedman, B. M. I Woodford, M. (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.), Handbook of Monetary Economics, Elsevier/North-Holland, Vol. 3, 653-722.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Shleifer, A. (2011), Efficient Regulation, u Kessler, D. P. (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.), Regulation vs. Litigation: perspectives from Economics and Law, University of Chicago Press, str. 27-43.</w:t>
            </w:r>
          </w:p>
          <w:p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Svensson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L. E. O. (2010), Inflation Targeting, u B. M. Friedman i M. Woodford (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.), Handbook of Monetary Economics, Elsevier, Vol. 3, 1237-1302.</w:t>
            </w:r>
          </w:p>
          <w:p w:rsidR="00AB6F50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Williamson, S. D. i Wright, R. (2010), New Monetarists Economics: Methods, Federal Reserve Bank of St. Louis Review, Vol. (Jul/August), 265-302.</w:t>
            </w:r>
          </w:p>
          <w:p w:rsidR="00AB6F50" w:rsidRPr="004A680F" w:rsidRDefault="00AB6F50" w:rsidP="00AB6F5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AB6F50" w:rsidRPr="004A680F" w:rsidRDefault="00AB6F50" w:rsidP="00AB6F5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Državni zavod za statistiku RH (</w:t>
            </w:r>
            <w:hyperlink r:id="rId7" w:history="1">
              <w:r w:rsidRPr="004A680F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:rsidR="00AB6F50" w:rsidRPr="004A680F" w:rsidRDefault="00AB6F50" w:rsidP="00AB6F5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Hrvatska narodna banka – statistički podaci (</w:t>
            </w:r>
            <w:hyperlink r:id="rId8" w:history="1">
              <w:r w:rsidRPr="004A680F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https://www.hnb.hr/statistika/statisticki-podaci</w:t>
              </w:r>
            </w:hyperlink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:rsidR="0076266D" w:rsidRPr="004A680F" w:rsidRDefault="0076266D" w:rsidP="0076266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Penn World Table (https://www.rug.nl/ggdc/productivity/pwt/)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cr/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Eurostat (http://ec.europa.eu/eurostat)</w:t>
            </w:r>
          </w:p>
          <w:p w:rsidR="00AE42EA" w:rsidRPr="004A680F" w:rsidRDefault="0076266D" w:rsidP="0076266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World Development Indicators (https://data.worldbank.org/products/wdi)</w:t>
            </w:r>
          </w:p>
        </w:tc>
      </w:tr>
      <w:tr w:rsidR="004A680F" w:rsidRPr="004A680F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AE42EA" w:rsidRPr="004A680F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AE42EA" w:rsidRPr="004A680F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AE42EA" w:rsidRPr="004A680F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AE42EA" w:rsidRPr="004A680F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4A680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A680F" w:rsidRPr="004A680F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4A680F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BA4E21" w:rsidRPr="004A680F" w:rsidRDefault="00BA4E21">
      <w:pPr>
        <w:rPr>
          <w:color w:val="000000" w:themeColor="text1"/>
        </w:rPr>
      </w:pPr>
    </w:p>
    <w:sectPr w:rsidR="00BA4E21" w:rsidRPr="004A680F" w:rsidSect="0095216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B02" w:rsidRDefault="00DC4B02" w:rsidP="00A02208">
      <w:pPr>
        <w:spacing w:after="0" w:line="240" w:lineRule="auto"/>
      </w:pPr>
      <w:r>
        <w:separator/>
      </w:r>
    </w:p>
  </w:endnote>
  <w:endnote w:type="continuationSeparator" w:id="0">
    <w:p w:rsidR="00DC4B02" w:rsidRDefault="00DC4B02" w:rsidP="00A02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BCB" w:rsidRPr="00E47BCB" w:rsidRDefault="00E47BCB" w:rsidP="00E47BCB">
    <w:pPr>
      <w:tabs>
        <w:tab w:val="left" w:pos="1207"/>
        <w:tab w:val="center" w:pos="4536"/>
        <w:tab w:val="right" w:pos="9072"/>
      </w:tabs>
      <w:spacing w:after="0" w:line="240" w:lineRule="auto"/>
    </w:pPr>
    <w:r w:rsidRPr="00E47BCB">
      <w:t>2021./2022.</w:t>
    </w:r>
  </w:p>
  <w:p w:rsidR="00E47BCB" w:rsidRPr="00E47BCB" w:rsidRDefault="00E47BCB" w:rsidP="00E47BCB">
    <w:pPr>
      <w:tabs>
        <w:tab w:val="left" w:pos="1207"/>
        <w:tab w:val="center" w:pos="4536"/>
        <w:tab w:val="right" w:pos="9072"/>
      </w:tabs>
      <w:spacing w:after="0" w:line="240" w:lineRule="auto"/>
    </w:pPr>
    <w:r w:rsidRPr="00E47BCB">
      <w:t>19/10/21 – 2.Sj. FV</w:t>
    </w:r>
  </w:p>
  <w:p w:rsidR="004A680F" w:rsidRDefault="004A680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B02" w:rsidRDefault="00DC4B02" w:rsidP="00A02208">
      <w:pPr>
        <w:spacing w:after="0" w:line="240" w:lineRule="auto"/>
      </w:pPr>
      <w:r>
        <w:separator/>
      </w:r>
    </w:p>
  </w:footnote>
  <w:footnote w:type="continuationSeparator" w:id="0">
    <w:p w:rsidR="00DC4B02" w:rsidRDefault="00DC4B02" w:rsidP="00A022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57EBE"/>
    <w:multiLevelType w:val="hybridMultilevel"/>
    <w:tmpl w:val="3E76C8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31B0B"/>
    <w:multiLevelType w:val="hybridMultilevel"/>
    <w:tmpl w:val="7BC840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2552"/>
    <w:multiLevelType w:val="hybridMultilevel"/>
    <w:tmpl w:val="45ECCDEA"/>
    <w:lvl w:ilvl="0" w:tplc="CFD24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50747"/>
    <w:multiLevelType w:val="hybridMultilevel"/>
    <w:tmpl w:val="FA484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31D89"/>
    <w:multiLevelType w:val="hybridMultilevel"/>
    <w:tmpl w:val="BD1EA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5AE1673"/>
    <w:multiLevelType w:val="hybridMultilevel"/>
    <w:tmpl w:val="B93CD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BB672D6"/>
    <w:multiLevelType w:val="hybridMultilevel"/>
    <w:tmpl w:val="02F485A2"/>
    <w:lvl w:ilvl="0" w:tplc="671AA87A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2EA"/>
    <w:rsid w:val="0007458C"/>
    <w:rsid w:val="000E0EBA"/>
    <w:rsid w:val="00162264"/>
    <w:rsid w:val="001639C4"/>
    <w:rsid w:val="00206A8A"/>
    <w:rsid w:val="00226B05"/>
    <w:rsid w:val="00227529"/>
    <w:rsid w:val="00230D83"/>
    <w:rsid w:val="003B0DE6"/>
    <w:rsid w:val="004953CE"/>
    <w:rsid w:val="004A680F"/>
    <w:rsid w:val="006B11C5"/>
    <w:rsid w:val="00740A5F"/>
    <w:rsid w:val="0076266D"/>
    <w:rsid w:val="0077645C"/>
    <w:rsid w:val="007A67F5"/>
    <w:rsid w:val="00852A10"/>
    <w:rsid w:val="00952162"/>
    <w:rsid w:val="00973A46"/>
    <w:rsid w:val="009C6883"/>
    <w:rsid w:val="00A00B69"/>
    <w:rsid w:val="00A02208"/>
    <w:rsid w:val="00A5658D"/>
    <w:rsid w:val="00AB6F50"/>
    <w:rsid w:val="00AE42EA"/>
    <w:rsid w:val="00B87B9B"/>
    <w:rsid w:val="00BA4E21"/>
    <w:rsid w:val="00BB0FD9"/>
    <w:rsid w:val="00BB2AE4"/>
    <w:rsid w:val="00BD780E"/>
    <w:rsid w:val="00DA249A"/>
    <w:rsid w:val="00DC4B02"/>
    <w:rsid w:val="00E47BCB"/>
    <w:rsid w:val="00ED4BB0"/>
    <w:rsid w:val="00F4042F"/>
    <w:rsid w:val="00F549E2"/>
    <w:rsid w:val="00F8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CB30CF-596A-4F23-81FB-DCA7E56BB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264"/>
    <w:pPr>
      <w:spacing w:after="200" w:line="276" w:lineRule="auto"/>
    </w:pPr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E42E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AE42EA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AE42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AE42EA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A02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02208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A02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02208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2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2208"/>
    <w:rPr>
      <w:rFonts w:ascii="Tahoma" w:eastAsia="Calibri" w:hAnsi="Tahoma" w:cs="Tahoma"/>
      <w:sz w:val="16"/>
      <w:szCs w:val="1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3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nb.hr/statistika/statisticki-podac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1454</Words>
  <Characters>8293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Čorić</dc:creator>
  <cp:lastModifiedBy>Katarina Sumić Milković</cp:lastModifiedBy>
  <cp:revision>7</cp:revision>
  <cp:lastPrinted>2018-10-09T12:33:00Z</cp:lastPrinted>
  <dcterms:created xsi:type="dcterms:W3CDTF">2020-10-09T11:44:00Z</dcterms:created>
  <dcterms:modified xsi:type="dcterms:W3CDTF">2021-10-13T09:10:00Z</dcterms:modified>
</cp:coreProperties>
</file>